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2907A" w14:textId="1E7F0B67" w:rsidR="000A463D" w:rsidRDefault="000A463D" w:rsidP="000A463D">
      <w:pPr>
        <w:rPr>
          <w:lang w:val="en-US"/>
        </w:rPr>
      </w:pPr>
      <w:r>
        <w:rPr>
          <w:lang w:val="en-US"/>
        </w:rPr>
        <w:t>Otatara Landcare Group AGM 202</w:t>
      </w:r>
      <w:r>
        <w:rPr>
          <w:lang w:val="en-US"/>
        </w:rPr>
        <w:t>4</w:t>
      </w:r>
    </w:p>
    <w:p w14:paraId="480D5F6D" w14:textId="77777777" w:rsidR="000A463D" w:rsidRDefault="000A463D" w:rsidP="000A463D">
      <w:pPr>
        <w:rPr>
          <w:lang w:val="en-US"/>
        </w:rPr>
      </w:pPr>
      <w:r>
        <w:rPr>
          <w:lang w:val="en-US"/>
        </w:rPr>
        <w:t>Bush Haven Report</w:t>
      </w:r>
    </w:p>
    <w:p w14:paraId="4E4DA9A6" w14:textId="77777777" w:rsidR="000A463D" w:rsidRDefault="000A463D"/>
    <w:p w14:paraId="6AEDD7A2" w14:textId="30E2ED5E" w:rsidR="000A463D" w:rsidRDefault="000A463D" w:rsidP="000A463D">
      <w:pPr>
        <w:rPr>
          <w:lang w:val="en-US"/>
        </w:rPr>
      </w:pPr>
      <w:r>
        <w:rPr>
          <w:lang w:val="en-US"/>
        </w:rPr>
        <w:t>In the year to end March 202</w:t>
      </w:r>
      <w:r w:rsidR="007D1123">
        <w:rPr>
          <w:lang w:val="en-US"/>
        </w:rPr>
        <w:t>4</w:t>
      </w:r>
      <w:r>
        <w:rPr>
          <w:lang w:val="en-US"/>
        </w:rPr>
        <w:t xml:space="preserve">, we received </w:t>
      </w:r>
      <w:r w:rsidR="007D1123">
        <w:rPr>
          <w:lang w:val="en-US"/>
        </w:rPr>
        <w:t>24 (</w:t>
      </w:r>
      <w:r>
        <w:rPr>
          <w:lang w:val="en-US"/>
        </w:rPr>
        <w:t>34</w:t>
      </w:r>
      <w:r w:rsidR="007D1123">
        <w:rPr>
          <w:lang w:val="en-US"/>
        </w:rPr>
        <w:t>)</w:t>
      </w:r>
      <w:r>
        <w:rPr>
          <w:lang w:val="en-US"/>
        </w:rPr>
        <w:t xml:space="preserve"> kereru</w:t>
      </w:r>
      <w:r w:rsidR="007D1123">
        <w:rPr>
          <w:lang w:val="en-US"/>
        </w:rPr>
        <w:t>,</w:t>
      </w:r>
      <w:r>
        <w:rPr>
          <w:lang w:val="en-US"/>
        </w:rPr>
        <w:t xml:space="preserve"> </w:t>
      </w:r>
      <w:r w:rsidR="007D1123">
        <w:rPr>
          <w:lang w:val="en-US"/>
        </w:rPr>
        <w:t>14 (1</w:t>
      </w:r>
      <w:r>
        <w:rPr>
          <w:lang w:val="en-US"/>
        </w:rPr>
        <w:t>2</w:t>
      </w:r>
      <w:r w:rsidR="007D1123">
        <w:rPr>
          <w:lang w:val="en-US"/>
        </w:rPr>
        <w:t xml:space="preserve">) </w:t>
      </w:r>
      <w:r>
        <w:rPr>
          <w:lang w:val="en-US"/>
        </w:rPr>
        <w:t xml:space="preserve">tui, </w:t>
      </w:r>
      <w:r w:rsidR="007D1123">
        <w:rPr>
          <w:lang w:val="en-US"/>
        </w:rPr>
        <w:t xml:space="preserve"> </w:t>
      </w:r>
      <w:r w:rsidR="00FF4ABE">
        <w:rPr>
          <w:lang w:val="en-US"/>
        </w:rPr>
        <w:t xml:space="preserve">two bellbirds </w:t>
      </w:r>
      <w:r w:rsidR="007D1123">
        <w:rPr>
          <w:lang w:val="en-US"/>
        </w:rPr>
        <w:t xml:space="preserve">and one kingfisher, </w:t>
      </w:r>
      <w:r>
        <w:rPr>
          <w:lang w:val="en-US"/>
        </w:rPr>
        <w:t>with the following outcomes</w:t>
      </w:r>
      <w:r w:rsidR="00865C2A"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6"/>
        <w:gridCol w:w="1276"/>
        <w:gridCol w:w="1347"/>
        <w:gridCol w:w="906"/>
        <w:gridCol w:w="1646"/>
        <w:gridCol w:w="1283"/>
        <w:gridCol w:w="1272"/>
      </w:tblGrid>
      <w:tr w:rsidR="000A463D" w14:paraId="017CB896" w14:textId="77777777" w:rsidTr="000A463D">
        <w:tc>
          <w:tcPr>
            <w:tcW w:w="1286" w:type="dxa"/>
          </w:tcPr>
          <w:p w14:paraId="42219C5A" w14:textId="77777777" w:rsidR="000A463D" w:rsidRDefault="000A463D" w:rsidP="000A463D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14:paraId="1E77F37A" w14:textId="77777777" w:rsidR="000A463D" w:rsidRDefault="000A463D" w:rsidP="007D1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total in</w:t>
            </w:r>
          </w:p>
        </w:tc>
        <w:tc>
          <w:tcPr>
            <w:tcW w:w="1347" w:type="dxa"/>
          </w:tcPr>
          <w:p w14:paraId="7AC44D6F" w14:textId="77777777" w:rsidR="000A463D" w:rsidRDefault="000A463D" w:rsidP="007D1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euthanased</w:t>
            </w:r>
          </w:p>
        </w:tc>
        <w:tc>
          <w:tcPr>
            <w:tcW w:w="906" w:type="dxa"/>
          </w:tcPr>
          <w:p w14:paraId="57DB8B6A" w14:textId="77777777" w:rsidR="000A463D" w:rsidRDefault="000A463D" w:rsidP="007D1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DOA</w:t>
            </w:r>
          </w:p>
        </w:tc>
        <w:tc>
          <w:tcPr>
            <w:tcW w:w="1646" w:type="dxa"/>
          </w:tcPr>
          <w:p w14:paraId="1C805786" w14:textId="77777777" w:rsidR="000A463D" w:rsidRDefault="000A463D" w:rsidP="007D1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died in care</w:t>
            </w:r>
          </w:p>
        </w:tc>
        <w:tc>
          <w:tcPr>
            <w:tcW w:w="1283" w:type="dxa"/>
          </w:tcPr>
          <w:p w14:paraId="02AA6662" w14:textId="77777777" w:rsidR="000A463D" w:rsidRDefault="000A463D" w:rsidP="007D1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released</w:t>
            </w:r>
          </w:p>
        </w:tc>
        <w:tc>
          <w:tcPr>
            <w:tcW w:w="1272" w:type="dxa"/>
          </w:tcPr>
          <w:p w14:paraId="5E2661A4" w14:textId="77777777" w:rsidR="000A463D" w:rsidRDefault="000A463D" w:rsidP="007D1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as %</w:t>
            </w:r>
          </w:p>
        </w:tc>
      </w:tr>
      <w:tr w:rsidR="000A463D" w14:paraId="38FEF8DF" w14:textId="77777777" w:rsidTr="000A463D">
        <w:tc>
          <w:tcPr>
            <w:tcW w:w="1286" w:type="dxa"/>
          </w:tcPr>
          <w:p w14:paraId="4128D257" w14:textId="63F5402D" w:rsidR="000A463D" w:rsidRDefault="000A463D" w:rsidP="000A463D">
            <w:pPr>
              <w:rPr>
                <w:lang w:val="en-US"/>
              </w:rPr>
            </w:pPr>
            <w:r>
              <w:rPr>
                <w:lang w:val="en-US"/>
              </w:rPr>
              <w:t>Kereru</w:t>
            </w:r>
          </w:p>
        </w:tc>
        <w:tc>
          <w:tcPr>
            <w:tcW w:w="1276" w:type="dxa"/>
          </w:tcPr>
          <w:p w14:paraId="561A1E28" w14:textId="061A3953" w:rsidR="000A463D" w:rsidRDefault="007D1123" w:rsidP="007D1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347" w:type="dxa"/>
          </w:tcPr>
          <w:p w14:paraId="4303DA78" w14:textId="3715E48B" w:rsidR="000A463D" w:rsidRDefault="007D1123" w:rsidP="007D1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06" w:type="dxa"/>
          </w:tcPr>
          <w:p w14:paraId="05E103B1" w14:textId="62FCEDC7" w:rsidR="000A463D" w:rsidRDefault="00C80917" w:rsidP="007D1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6" w:type="dxa"/>
          </w:tcPr>
          <w:p w14:paraId="24574577" w14:textId="79C544E5" w:rsidR="000A463D" w:rsidRDefault="007D1123" w:rsidP="007D1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83" w:type="dxa"/>
          </w:tcPr>
          <w:p w14:paraId="4310A77E" w14:textId="7DD8B4E2" w:rsidR="000A463D" w:rsidRDefault="007D1123" w:rsidP="007D1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2" w:type="dxa"/>
          </w:tcPr>
          <w:p w14:paraId="70F66EA1" w14:textId="2FDD0015" w:rsidR="000A463D" w:rsidRDefault="007D1123" w:rsidP="007D1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42%</w:t>
            </w:r>
          </w:p>
        </w:tc>
      </w:tr>
      <w:tr w:rsidR="000A463D" w14:paraId="3EC8CB21" w14:textId="77777777" w:rsidTr="000A463D">
        <w:tc>
          <w:tcPr>
            <w:tcW w:w="1286" w:type="dxa"/>
          </w:tcPr>
          <w:p w14:paraId="289E4985" w14:textId="1DEDF4B9" w:rsidR="000A463D" w:rsidRDefault="000A463D" w:rsidP="000A463D">
            <w:pPr>
              <w:rPr>
                <w:lang w:val="en-US"/>
              </w:rPr>
            </w:pPr>
            <w:r>
              <w:rPr>
                <w:lang w:val="en-US"/>
              </w:rPr>
              <w:t>Tui</w:t>
            </w:r>
          </w:p>
        </w:tc>
        <w:tc>
          <w:tcPr>
            <w:tcW w:w="1276" w:type="dxa"/>
          </w:tcPr>
          <w:p w14:paraId="5B774A3B" w14:textId="0D39512D" w:rsidR="000A463D" w:rsidRDefault="007D1123" w:rsidP="007D1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347" w:type="dxa"/>
          </w:tcPr>
          <w:p w14:paraId="0A67AE40" w14:textId="6AEBD4DB" w:rsidR="000A463D" w:rsidRDefault="007D1123" w:rsidP="007D1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6" w:type="dxa"/>
          </w:tcPr>
          <w:p w14:paraId="4694878B" w14:textId="7451C786" w:rsidR="000A463D" w:rsidRDefault="007D1123" w:rsidP="007D1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6" w:type="dxa"/>
          </w:tcPr>
          <w:p w14:paraId="4B20C579" w14:textId="0060442A" w:rsidR="000A463D" w:rsidRDefault="007D1123" w:rsidP="007D1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83" w:type="dxa"/>
          </w:tcPr>
          <w:p w14:paraId="434494F7" w14:textId="0823A2B4" w:rsidR="000A463D" w:rsidRDefault="007D1123" w:rsidP="007D1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2" w:type="dxa"/>
          </w:tcPr>
          <w:p w14:paraId="391391AF" w14:textId="43D3190A" w:rsidR="000A463D" w:rsidRDefault="007D1123" w:rsidP="007D1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50%</w:t>
            </w:r>
          </w:p>
        </w:tc>
      </w:tr>
      <w:tr w:rsidR="000A463D" w14:paraId="2363942E" w14:textId="77777777" w:rsidTr="000A463D">
        <w:tc>
          <w:tcPr>
            <w:tcW w:w="1286" w:type="dxa"/>
          </w:tcPr>
          <w:p w14:paraId="382581B0" w14:textId="6462680E" w:rsidR="000A463D" w:rsidRDefault="00914F56" w:rsidP="000A463D">
            <w:pPr>
              <w:rPr>
                <w:lang w:val="en-US"/>
              </w:rPr>
            </w:pPr>
            <w:r>
              <w:rPr>
                <w:lang w:val="en-US"/>
              </w:rPr>
              <w:t>Bellbirds</w:t>
            </w:r>
          </w:p>
        </w:tc>
        <w:tc>
          <w:tcPr>
            <w:tcW w:w="1276" w:type="dxa"/>
          </w:tcPr>
          <w:p w14:paraId="11ED0878" w14:textId="0D7EE20B" w:rsidR="000A463D" w:rsidRDefault="00914F56" w:rsidP="007D1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47" w:type="dxa"/>
          </w:tcPr>
          <w:p w14:paraId="4D6A9AAA" w14:textId="77777777" w:rsidR="000A463D" w:rsidRDefault="000A463D" w:rsidP="007D1123">
            <w:pPr>
              <w:jc w:val="center"/>
              <w:rPr>
                <w:lang w:val="en-US"/>
              </w:rPr>
            </w:pPr>
          </w:p>
        </w:tc>
        <w:tc>
          <w:tcPr>
            <w:tcW w:w="906" w:type="dxa"/>
          </w:tcPr>
          <w:p w14:paraId="0DBC5902" w14:textId="77777777" w:rsidR="000A463D" w:rsidRDefault="000A463D" w:rsidP="007D1123">
            <w:pPr>
              <w:jc w:val="center"/>
              <w:rPr>
                <w:lang w:val="en-US"/>
              </w:rPr>
            </w:pPr>
          </w:p>
        </w:tc>
        <w:tc>
          <w:tcPr>
            <w:tcW w:w="1646" w:type="dxa"/>
          </w:tcPr>
          <w:p w14:paraId="0DAF4EC3" w14:textId="57B2798A" w:rsidR="000A463D" w:rsidRDefault="00914F56" w:rsidP="007D1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83" w:type="dxa"/>
          </w:tcPr>
          <w:p w14:paraId="196D48B0" w14:textId="4F748403" w:rsidR="000A463D" w:rsidRDefault="007D1123" w:rsidP="007D1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2" w:type="dxa"/>
          </w:tcPr>
          <w:p w14:paraId="108A441C" w14:textId="4296C818" w:rsidR="000A463D" w:rsidRDefault="000A463D" w:rsidP="007D1123">
            <w:pPr>
              <w:jc w:val="center"/>
              <w:rPr>
                <w:lang w:val="en-US"/>
              </w:rPr>
            </w:pPr>
          </w:p>
        </w:tc>
      </w:tr>
      <w:tr w:rsidR="00914F56" w14:paraId="73236F71" w14:textId="77777777" w:rsidTr="000A463D">
        <w:tc>
          <w:tcPr>
            <w:tcW w:w="1286" w:type="dxa"/>
          </w:tcPr>
          <w:p w14:paraId="743B8E77" w14:textId="0B56D21F" w:rsidR="00914F56" w:rsidRDefault="00914F56" w:rsidP="000A463D">
            <w:pPr>
              <w:rPr>
                <w:lang w:val="en-US"/>
              </w:rPr>
            </w:pPr>
            <w:r>
              <w:rPr>
                <w:lang w:val="en-US"/>
              </w:rPr>
              <w:t>Kingfisher</w:t>
            </w:r>
          </w:p>
        </w:tc>
        <w:tc>
          <w:tcPr>
            <w:tcW w:w="1276" w:type="dxa"/>
          </w:tcPr>
          <w:p w14:paraId="2BD56836" w14:textId="2E3EBF1F" w:rsidR="00914F56" w:rsidRDefault="00914F56" w:rsidP="007D1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47" w:type="dxa"/>
          </w:tcPr>
          <w:p w14:paraId="350BB88F" w14:textId="77777777" w:rsidR="00914F56" w:rsidRDefault="00914F56" w:rsidP="007D1123">
            <w:pPr>
              <w:jc w:val="center"/>
              <w:rPr>
                <w:lang w:val="en-US"/>
              </w:rPr>
            </w:pPr>
          </w:p>
        </w:tc>
        <w:tc>
          <w:tcPr>
            <w:tcW w:w="906" w:type="dxa"/>
          </w:tcPr>
          <w:p w14:paraId="1DB410BB" w14:textId="77777777" w:rsidR="00914F56" w:rsidRDefault="00914F56" w:rsidP="007D1123">
            <w:pPr>
              <w:jc w:val="center"/>
              <w:rPr>
                <w:lang w:val="en-US"/>
              </w:rPr>
            </w:pPr>
          </w:p>
        </w:tc>
        <w:tc>
          <w:tcPr>
            <w:tcW w:w="1646" w:type="dxa"/>
          </w:tcPr>
          <w:p w14:paraId="1FF2940D" w14:textId="77777777" w:rsidR="00914F56" w:rsidRDefault="00914F56" w:rsidP="007D1123">
            <w:pPr>
              <w:jc w:val="center"/>
              <w:rPr>
                <w:lang w:val="en-US"/>
              </w:rPr>
            </w:pPr>
          </w:p>
        </w:tc>
        <w:tc>
          <w:tcPr>
            <w:tcW w:w="1283" w:type="dxa"/>
          </w:tcPr>
          <w:p w14:paraId="38268074" w14:textId="1E0F61DA" w:rsidR="00914F56" w:rsidRDefault="00914F56" w:rsidP="00914F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2" w:type="dxa"/>
          </w:tcPr>
          <w:p w14:paraId="381AB1CA" w14:textId="77777777" w:rsidR="00914F56" w:rsidRDefault="00914F56" w:rsidP="007D1123">
            <w:pPr>
              <w:jc w:val="center"/>
              <w:rPr>
                <w:lang w:val="en-US"/>
              </w:rPr>
            </w:pPr>
          </w:p>
        </w:tc>
      </w:tr>
    </w:tbl>
    <w:p w14:paraId="5943F10C" w14:textId="77777777" w:rsidR="000A463D" w:rsidRDefault="000A463D" w:rsidP="000A463D">
      <w:pPr>
        <w:rPr>
          <w:lang w:val="en-US"/>
        </w:rPr>
      </w:pPr>
    </w:p>
    <w:p w14:paraId="07A5B998" w14:textId="52BD72A0" w:rsidR="00860445" w:rsidRDefault="001A7B41">
      <w:r>
        <w:t>13 of the 24 kereru came from Otatara</w:t>
      </w:r>
      <w:r w:rsidR="00836386">
        <w:t>.</w:t>
      </w:r>
      <w:r>
        <w:t xml:space="preserve"> 14</w:t>
      </w:r>
      <w:r w:rsidR="00966EAE">
        <w:t xml:space="preserve"> of all</w:t>
      </w:r>
      <w:r>
        <w:t xml:space="preserve"> birds were definite window strikes, </w:t>
      </w:r>
      <w:r w:rsidR="00860445">
        <w:t xml:space="preserve">8 of </w:t>
      </w:r>
      <w:r w:rsidR="00836386">
        <w:t>which</w:t>
      </w:r>
      <w:r w:rsidR="00860445">
        <w:t xml:space="preserve"> were injured beyond repair and either died soon after arrival or were euthanased</w:t>
      </w:r>
      <w:r w:rsidR="00C66B84">
        <w:t xml:space="preserve">. </w:t>
      </w:r>
      <w:r>
        <w:t xml:space="preserve">5 </w:t>
      </w:r>
      <w:r w:rsidR="00C66B84">
        <w:t xml:space="preserve">kereru </w:t>
      </w:r>
      <w:r>
        <w:t xml:space="preserve">were found </w:t>
      </w:r>
      <w:r w:rsidR="00C66B84">
        <w:t>huddled on the</w:t>
      </w:r>
      <w:r>
        <w:t xml:space="preserve"> ground very thin and at least 3 of those starving. All 5 were eventually released with very good weight gain</w:t>
      </w:r>
      <w:r w:rsidR="00C66B84">
        <w:t xml:space="preserve">. </w:t>
      </w:r>
      <w:r w:rsidR="003D1B16">
        <w:t xml:space="preserve"> Another</w:t>
      </w:r>
      <w:r w:rsidR="00860445">
        <w:t xml:space="preserve"> </w:t>
      </w:r>
      <w:r>
        <w:t xml:space="preserve">5 </w:t>
      </w:r>
      <w:r w:rsidR="003D1B16">
        <w:t>birds were</w:t>
      </w:r>
      <w:r>
        <w:t xml:space="preserve"> on the ground for unknown reasons and of those 3 had been attacked by cats</w:t>
      </w:r>
      <w:r w:rsidR="00C66B84">
        <w:t xml:space="preserve"> and had open fractures which are unsustainable</w:t>
      </w:r>
      <w:r>
        <w:t xml:space="preserve">. </w:t>
      </w:r>
      <w:r w:rsidR="00860445">
        <w:t xml:space="preserve"> </w:t>
      </w:r>
    </w:p>
    <w:p w14:paraId="70E45AF6" w14:textId="77777777" w:rsidR="00860445" w:rsidRDefault="00860445">
      <w:r>
        <w:t>It was a sad year seeing so many beautiful healthy kereru injured so badly.</w:t>
      </w:r>
    </w:p>
    <w:p w14:paraId="12A2E01F" w14:textId="3129C9A9" w:rsidR="00860445" w:rsidRDefault="00860445">
      <w:r>
        <w:t xml:space="preserve">Because we also had </w:t>
      </w:r>
      <w:r w:rsidR="00C66B84">
        <w:t xml:space="preserve">a rush </w:t>
      </w:r>
      <w:r w:rsidR="003D1B16">
        <w:t>of baby</w:t>
      </w:r>
      <w:r>
        <w:t xml:space="preserve"> tui we were quite thoroughly nailed to hourly feeds throughout Dec</w:t>
      </w:r>
      <w:r w:rsidR="00914F56">
        <w:t>ember</w:t>
      </w:r>
      <w:r>
        <w:t xml:space="preserve"> </w:t>
      </w:r>
      <w:r w:rsidR="00C66B84">
        <w:t>into</w:t>
      </w:r>
      <w:r>
        <w:t xml:space="preserve"> March and vowed</w:t>
      </w:r>
      <w:r w:rsidR="00914F56">
        <w:t xml:space="preserve"> </w:t>
      </w:r>
      <w:r>
        <w:t>”never again”</w:t>
      </w:r>
      <w:r w:rsidR="00966EAE">
        <w:t>.</w:t>
      </w:r>
      <w:r w:rsidR="00C80917">
        <w:t xml:space="preserve"> </w:t>
      </w:r>
      <w:r w:rsidR="00F77B0D">
        <w:t xml:space="preserve">Thanks to Douglas for tireless help. </w:t>
      </w:r>
      <w:r w:rsidR="00C80917">
        <w:t xml:space="preserve"> </w:t>
      </w:r>
      <w:r>
        <w:t xml:space="preserve">Our new helper Jo Cockroft has now taken over the small bird care of tuis, bellbirds etc. Jo is planning to eventually take </w:t>
      </w:r>
      <w:r w:rsidR="003D1B16">
        <w:t>over from</w:t>
      </w:r>
      <w:r>
        <w:t xml:space="preserve"> us</w:t>
      </w:r>
      <w:r w:rsidR="00C66B84">
        <w:t xml:space="preserve"> with all the birds</w:t>
      </w:r>
      <w:r>
        <w:t xml:space="preserve">. </w:t>
      </w:r>
    </w:p>
    <w:p w14:paraId="2F2116E2" w14:textId="4B2470F0" w:rsidR="00D27D58" w:rsidRDefault="00D27D58" w:rsidP="00D27D58">
      <w:r>
        <w:t xml:space="preserve">We have </w:t>
      </w:r>
      <w:r>
        <w:t xml:space="preserve">recently </w:t>
      </w:r>
      <w:r>
        <w:t>reviewed the number of kereru brought to us from Otatara over the past five years and the incidence of window strike, with results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1"/>
        <w:gridCol w:w="1546"/>
        <w:gridCol w:w="1546"/>
        <w:gridCol w:w="1546"/>
        <w:gridCol w:w="1547"/>
        <w:gridCol w:w="1300"/>
      </w:tblGrid>
      <w:tr w:rsidR="00D27D58" w14:paraId="029D0461" w14:textId="77777777" w:rsidTr="00982863">
        <w:tc>
          <w:tcPr>
            <w:tcW w:w="1531" w:type="dxa"/>
          </w:tcPr>
          <w:p w14:paraId="2377B9B0" w14:textId="77777777" w:rsidR="00D27D58" w:rsidRDefault="00D27D58" w:rsidP="00982863">
            <w:r>
              <w:t>Season</w:t>
            </w:r>
          </w:p>
        </w:tc>
        <w:tc>
          <w:tcPr>
            <w:tcW w:w="1546" w:type="dxa"/>
          </w:tcPr>
          <w:p w14:paraId="431B69C2" w14:textId="77777777" w:rsidR="00D27D58" w:rsidRDefault="00D27D58" w:rsidP="00982863">
            <w:r>
              <w:t>2019/20</w:t>
            </w:r>
          </w:p>
        </w:tc>
        <w:tc>
          <w:tcPr>
            <w:tcW w:w="1546" w:type="dxa"/>
          </w:tcPr>
          <w:p w14:paraId="0DB502A2" w14:textId="77777777" w:rsidR="00D27D58" w:rsidRDefault="00D27D58" w:rsidP="00982863">
            <w:r>
              <w:t>2020/21</w:t>
            </w:r>
          </w:p>
        </w:tc>
        <w:tc>
          <w:tcPr>
            <w:tcW w:w="1546" w:type="dxa"/>
          </w:tcPr>
          <w:p w14:paraId="7432BB71" w14:textId="77777777" w:rsidR="00D27D58" w:rsidRDefault="00D27D58" w:rsidP="00982863">
            <w:r>
              <w:t>2021/22</w:t>
            </w:r>
          </w:p>
        </w:tc>
        <w:tc>
          <w:tcPr>
            <w:tcW w:w="1547" w:type="dxa"/>
          </w:tcPr>
          <w:p w14:paraId="594DDFE6" w14:textId="77777777" w:rsidR="00D27D58" w:rsidRDefault="00D27D58" w:rsidP="00982863">
            <w:r>
              <w:t>2022/23</w:t>
            </w:r>
          </w:p>
        </w:tc>
        <w:tc>
          <w:tcPr>
            <w:tcW w:w="1300" w:type="dxa"/>
          </w:tcPr>
          <w:p w14:paraId="1B937284" w14:textId="77777777" w:rsidR="00D27D58" w:rsidRDefault="00D27D58" w:rsidP="00982863">
            <w:r>
              <w:t>2023/24</w:t>
            </w:r>
          </w:p>
        </w:tc>
      </w:tr>
      <w:tr w:rsidR="00D27D58" w14:paraId="5BC83107" w14:textId="77777777" w:rsidTr="00982863">
        <w:tc>
          <w:tcPr>
            <w:tcW w:w="1531" w:type="dxa"/>
          </w:tcPr>
          <w:p w14:paraId="5CBDA938" w14:textId="77777777" w:rsidR="00D27D58" w:rsidRDefault="00D27D58" w:rsidP="00982863">
            <w:r>
              <w:t>Otatara total</w:t>
            </w:r>
          </w:p>
        </w:tc>
        <w:tc>
          <w:tcPr>
            <w:tcW w:w="1546" w:type="dxa"/>
          </w:tcPr>
          <w:p w14:paraId="7311BB16" w14:textId="77777777" w:rsidR="00D27D58" w:rsidRDefault="00D27D58" w:rsidP="00982863">
            <w:r>
              <w:t>20</w:t>
            </w:r>
          </w:p>
        </w:tc>
        <w:tc>
          <w:tcPr>
            <w:tcW w:w="1546" w:type="dxa"/>
          </w:tcPr>
          <w:p w14:paraId="0A43217F" w14:textId="77777777" w:rsidR="00D27D58" w:rsidRDefault="00D27D58" w:rsidP="00982863">
            <w:r>
              <w:t>9</w:t>
            </w:r>
          </w:p>
        </w:tc>
        <w:tc>
          <w:tcPr>
            <w:tcW w:w="1546" w:type="dxa"/>
          </w:tcPr>
          <w:p w14:paraId="4C68CB32" w14:textId="77777777" w:rsidR="00D27D58" w:rsidRDefault="00D27D58" w:rsidP="00982863">
            <w:r>
              <w:t>10</w:t>
            </w:r>
          </w:p>
        </w:tc>
        <w:tc>
          <w:tcPr>
            <w:tcW w:w="1547" w:type="dxa"/>
          </w:tcPr>
          <w:p w14:paraId="6B4810A2" w14:textId="77777777" w:rsidR="00D27D58" w:rsidRDefault="00D27D58" w:rsidP="00982863">
            <w:r>
              <w:t>22</w:t>
            </w:r>
          </w:p>
        </w:tc>
        <w:tc>
          <w:tcPr>
            <w:tcW w:w="1300" w:type="dxa"/>
          </w:tcPr>
          <w:p w14:paraId="46B2FE07" w14:textId="77777777" w:rsidR="00D27D58" w:rsidRDefault="00D27D58" w:rsidP="00982863">
            <w:r>
              <w:t>13</w:t>
            </w:r>
          </w:p>
        </w:tc>
      </w:tr>
      <w:tr w:rsidR="00D27D58" w14:paraId="2CB8FB20" w14:textId="77777777" w:rsidTr="00982863">
        <w:tc>
          <w:tcPr>
            <w:tcW w:w="1531" w:type="dxa"/>
          </w:tcPr>
          <w:p w14:paraId="2A0DB542" w14:textId="77777777" w:rsidR="00D27D58" w:rsidRDefault="00D27D58" w:rsidP="00982863">
            <w:r>
              <w:t>window strike</w:t>
            </w:r>
          </w:p>
        </w:tc>
        <w:tc>
          <w:tcPr>
            <w:tcW w:w="1546" w:type="dxa"/>
          </w:tcPr>
          <w:p w14:paraId="6AEF650A" w14:textId="77777777" w:rsidR="00D27D58" w:rsidRDefault="00D27D58" w:rsidP="00982863">
            <w:r>
              <w:t>12</w:t>
            </w:r>
          </w:p>
        </w:tc>
        <w:tc>
          <w:tcPr>
            <w:tcW w:w="1546" w:type="dxa"/>
          </w:tcPr>
          <w:p w14:paraId="7D041615" w14:textId="77777777" w:rsidR="00D27D58" w:rsidRDefault="00D27D58" w:rsidP="00982863">
            <w:r>
              <w:t>6</w:t>
            </w:r>
          </w:p>
        </w:tc>
        <w:tc>
          <w:tcPr>
            <w:tcW w:w="1546" w:type="dxa"/>
          </w:tcPr>
          <w:p w14:paraId="20D021BC" w14:textId="77777777" w:rsidR="00D27D58" w:rsidRDefault="00D27D58" w:rsidP="00982863">
            <w:r>
              <w:t>5</w:t>
            </w:r>
          </w:p>
        </w:tc>
        <w:tc>
          <w:tcPr>
            <w:tcW w:w="1547" w:type="dxa"/>
          </w:tcPr>
          <w:p w14:paraId="6BAAF7BF" w14:textId="77777777" w:rsidR="00D27D58" w:rsidRDefault="00D27D58" w:rsidP="00982863">
            <w:r>
              <w:t>11</w:t>
            </w:r>
          </w:p>
        </w:tc>
        <w:tc>
          <w:tcPr>
            <w:tcW w:w="1300" w:type="dxa"/>
          </w:tcPr>
          <w:p w14:paraId="18EF3B0C" w14:textId="77777777" w:rsidR="00D27D58" w:rsidRDefault="00D27D58" w:rsidP="00982863">
            <w:r>
              <w:t>8</w:t>
            </w:r>
          </w:p>
        </w:tc>
      </w:tr>
    </w:tbl>
    <w:p w14:paraId="4F86C434" w14:textId="77777777" w:rsidR="00D27D58" w:rsidRDefault="00D27D58" w:rsidP="00D27D58"/>
    <w:p w14:paraId="0021E6F8" w14:textId="77777777" w:rsidR="00D27D58" w:rsidRDefault="00D27D58" w:rsidP="00D27D58">
      <w:r>
        <w:t>Note that the window strike actual numbers may be higher than those reported, as the cause of several injuries are recorded as unknown.</w:t>
      </w:r>
    </w:p>
    <w:p w14:paraId="2FA67709" w14:textId="77777777" w:rsidR="00D27D58" w:rsidRDefault="00D27D58" w:rsidP="00D27D58">
      <w:r>
        <w:t xml:space="preserve">We ran a “Kereru Alert” feature in Pigeon Post in Autumn 2021 near the start of the 2021/22 season, but it is not clear if it has had any real impact on the incidence of window strike (or the total number of kereru injured) in Otatara since then, unfortunately. </w:t>
      </w:r>
    </w:p>
    <w:p w14:paraId="3EC88EF5" w14:textId="77777777" w:rsidR="00D27D58" w:rsidRDefault="00D27D58"/>
    <w:p w14:paraId="32944A46" w14:textId="7DF2360B" w:rsidR="00D27D58" w:rsidRDefault="00C66B84">
      <w:r>
        <w:t xml:space="preserve">Last May we rehydrated some sooty shearwaters found lying on Oreti </w:t>
      </w:r>
      <w:r w:rsidR="00966EAE">
        <w:t>B</w:t>
      </w:r>
      <w:r>
        <w:t xml:space="preserve">each and released them at Whalers Bay when they regained strength. This year we had a plan which you will read about in the next Pigeon Post. Avian flu fortunately is not a thing yet so we were free to help these lovely birds. </w:t>
      </w:r>
    </w:p>
    <w:p w14:paraId="120C0456" w14:textId="50CDEE5B" w:rsidR="00F77B0D" w:rsidRDefault="00F77B0D">
      <w:r>
        <w:t>Kathy Morrison.</w:t>
      </w:r>
    </w:p>
    <w:p w14:paraId="147DDDE1" w14:textId="77777777" w:rsidR="007C4E82" w:rsidRDefault="007C4E82"/>
    <w:sectPr w:rsidR="007C4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3D"/>
    <w:rsid w:val="000A463D"/>
    <w:rsid w:val="001A7B41"/>
    <w:rsid w:val="001D51D3"/>
    <w:rsid w:val="0029141E"/>
    <w:rsid w:val="003D1B16"/>
    <w:rsid w:val="004D7C2A"/>
    <w:rsid w:val="006C77FF"/>
    <w:rsid w:val="007C4E82"/>
    <w:rsid w:val="007D1123"/>
    <w:rsid w:val="00836386"/>
    <w:rsid w:val="00860445"/>
    <w:rsid w:val="00865C2A"/>
    <w:rsid w:val="00914F56"/>
    <w:rsid w:val="00966EAE"/>
    <w:rsid w:val="009946C0"/>
    <w:rsid w:val="00A05C9F"/>
    <w:rsid w:val="00B812AC"/>
    <w:rsid w:val="00BC206D"/>
    <w:rsid w:val="00C66B84"/>
    <w:rsid w:val="00C80917"/>
    <w:rsid w:val="00D27D58"/>
    <w:rsid w:val="00F77B0D"/>
    <w:rsid w:val="00FD13C1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CD36"/>
  <w15:chartTrackingRefBased/>
  <w15:docId w15:val="{AD6BF20C-4B2F-4B82-B6E7-E2E79DB8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63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6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6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6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6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6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6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6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6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6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6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6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6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6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6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6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6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6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6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6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6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6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6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4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3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Black</dc:creator>
  <cp:keywords/>
  <dc:description/>
  <cp:lastModifiedBy>Douglas Black</cp:lastModifiedBy>
  <cp:revision>16</cp:revision>
  <dcterms:created xsi:type="dcterms:W3CDTF">2024-05-14T09:07:00Z</dcterms:created>
  <dcterms:modified xsi:type="dcterms:W3CDTF">2024-05-15T10:05:00Z</dcterms:modified>
</cp:coreProperties>
</file>